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F9" w:rsidRDefault="00EF66F9" w:rsidP="00534E2E">
      <w:pPr>
        <w:pStyle w:val="Textoindependiente"/>
        <w:jc w:val="center"/>
        <w:rPr>
          <w:rFonts w:ascii="Verdana" w:hAnsi="Verdana" w:cs="Arial"/>
          <w:color w:val="auto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color w:val="auto"/>
          <w:sz w:val="24"/>
          <w:szCs w:val="24"/>
        </w:rPr>
        <w:t>Programa de Mejoramiento Progresivo de la Gestión Municipal</w:t>
      </w:r>
    </w:p>
    <w:p w:rsidR="00EF66F9" w:rsidRDefault="00EF66F9" w:rsidP="0092756D">
      <w:pPr>
        <w:pStyle w:val="Textoindependiente"/>
        <w:rPr>
          <w:rFonts w:ascii="Verdana" w:hAnsi="Verdana" w:cs="Arial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330"/>
      </w:tblGrid>
      <w:tr w:rsidR="00EF66F9" w:rsidRPr="009761C8" w:rsidTr="009761C8">
        <w:trPr>
          <w:trHeight w:val="363"/>
          <w:jc w:val="center"/>
        </w:trPr>
        <w:tc>
          <w:tcPr>
            <w:tcW w:w="2233" w:type="dxa"/>
            <w:vAlign w:val="center"/>
          </w:tcPr>
          <w:p w:rsidR="00EF66F9" w:rsidRPr="009761C8" w:rsidRDefault="00EF66F9" w:rsidP="00347B2C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9761C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Lugar</w:t>
            </w:r>
          </w:p>
        </w:tc>
        <w:tc>
          <w:tcPr>
            <w:tcW w:w="6330" w:type="dxa"/>
            <w:vAlign w:val="center"/>
          </w:tcPr>
          <w:p w:rsidR="00EF66F9" w:rsidRPr="009761C8" w:rsidRDefault="00EF66F9" w:rsidP="00CE7107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</w:tc>
      </w:tr>
      <w:tr w:rsidR="00EF66F9" w:rsidRPr="009761C8" w:rsidTr="009761C8">
        <w:trPr>
          <w:trHeight w:val="345"/>
          <w:jc w:val="center"/>
        </w:trPr>
        <w:tc>
          <w:tcPr>
            <w:tcW w:w="2233" w:type="dxa"/>
            <w:vAlign w:val="center"/>
          </w:tcPr>
          <w:p w:rsidR="00EF66F9" w:rsidRPr="009761C8" w:rsidRDefault="00EF66F9" w:rsidP="00347B2C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9761C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Fecha</w:t>
            </w:r>
          </w:p>
        </w:tc>
        <w:tc>
          <w:tcPr>
            <w:tcW w:w="6330" w:type="dxa"/>
            <w:vAlign w:val="center"/>
          </w:tcPr>
          <w:p w:rsidR="00EF66F9" w:rsidRPr="009761C8" w:rsidRDefault="00EF66F9" w:rsidP="00347B2C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</w:p>
        </w:tc>
      </w:tr>
      <w:tr w:rsidR="00EF66F9" w:rsidRPr="009761C8" w:rsidTr="009761C8">
        <w:trPr>
          <w:trHeight w:val="370"/>
          <w:jc w:val="center"/>
        </w:trPr>
        <w:tc>
          <w:tcPr>
            <w:tcW w:w="2233" w:type="dxa"/>
            <w:vAlign w:val="center"/>
          </w:tcPr>
          <w:p w:rsidR="00EF66F9" w:rsidRPr="009761C8" w:rsidRDefault="00EF66F9" w:rsidP="00347B2C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9761C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Horario</w:t>
            </w:r>
          </w:p>
        </w:tc>
        <w:tc>
          <w:tcPr>
            <w:tcW w:w="6330" w:type="dxa"/>
            <w:vAlign w:val="center"/>
          </w:tcPr>
          <w:p w:rsidR="00EF66F9" w:rsidRPr="009761C8" w:rsidRDefault="00EF66F9" w:rsidP="00D7799F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9761C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De 09,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3</w:t>
            </w:r>
            <w:r w:rsidRPr="009761C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0 a 18,00 horas</w:t>
            </w:r>
          </w:p>
        </w:tc>
      </w:tr>
      <w:tr w:rsidR="00EF66F9" w:rsidRPr="009761C8" w:rsidTr="009761C8">
        <w:trPr>
          <w:trHeight w:val="366"/>
          <w:jc w:val="center"/>
        </w:trPr>
        <w:tc>
          <w:tcPr>
            <w:tcW w:w="2233" w:type="dxa"/>
            <w:vAlign w:val="center"/>
          </w:tcPr>
          <w:p w:rsidR="00EF66F9" w:rsidRPr="009761C8" w:rsidRDefault="00EF66F9" w:rsidP="00347B2C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9761C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Organizan</w:t>
            </w:r>
          </w:p>
        </w:tc>
        <w:tc>
          <w:tcPr>
            <w:tcW w:w="6330" w:type="dxa"/>
            <w:vAlign w:val="center"/>
          </w:tcPr>
          <w:p w:rsidR="00EF66F9" w:rsidRPr="009761C8" w:rsidRDefault="00EF66F9" w:rsidP="00FD71AF">
            <w:pPr>
              <w:pStyle w:val="Textoindependiente"/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</w:pPr>
            <w:r w:rsidRPr="009761C8"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 xml:space="preserve">CHILECALIDAD / </w:t>
            </w:r>
            <w:r>
              <w:rPr>
                <w:rFonts w:ascii="Tahoma" w:hAnsi="Tahoma" w:cs="Tahoma"/>
                <w:b w:val="0"/>
                <w:color w:val="auto"/>
                <w:sz w:val="20"/>
                <w:szCs w:val="20"/>
              </w:rPr>
              <w:t>SUBDERE</w:t>
            </w:r>
          </w:p>
        </w:tc>
      </w:tr>
    </w:tbl>
    <w:p w:rsidR="00EF66F9" w:rsidRDefault="00EF66F9" w:rsidP="0092756D">
      <w:pPr>
        <w:pStyle w:val="Textoindependiente"/>
        <w:ind w:left="1410" w:hanging="1410"/>
        <w:rPr>
          <w:rFonts w:ascii="Verdana" w:hAnsi="Verdana" w:cs="Arial"/>
          <w:color w:val="auto"/>
          <w:sz w:val="20"/>
          <w:szCs w:val="20"/>
        </w:rPr>
      </w:pPr>
    </w:p>
    <w:p w:rsidR="00EF66F9" w:rsidRDefault="00EF66F9" w:rsidP="0092756D">
      <w:pPr>
        <w:pStyle w:val="Textoindependiente"/>
        <w:ind w:left="1410" w:hanging="1410"/>
        <w:rPr>
          <w:rFonts w:ascii="Verdana" w:hAnsi="Verdana" w:cs="Arial"/>
          <w:color w:val="auto"/>
          <w:sz w:val="20"/>
          <w:szCs w:val="20"/>
        </w:rPr>
      </w:pPr>
    </w:p>
    <w:p w:rsidR="00EF66F9" w:rsidRPr="00B371A5" w:rsidRDefault="00EF66F9" w:rsidP="005A1DE8">
      <w:pPr>
        <w:pStyle w:val="Textoindependiente"/>
        <w:ind w:left="1410" w:hanging="1126"/>
        <w:rPr>
          <w:rFonts w:ascii="Verdana" w:hAnsi="Verdana" w:cs="Arial"/>
          <w:color w:val="auto"/>
          <w:sz w:val="20"/>
          <w:szCs w:val="20"/>
        </w:rPr>
      </w:pPr>
      <w:r w:rsidRPr="002B1100">
        <w:rPr>
          <w:rFonts w:ascii="Verdana" w:hAnsi="Verdana" w:cs="Arial"/>
          <w:color w:val="auto"/>
          <w:sz w:val="20"/>
          <w:szCs w:val="20"/>
        </w:rPr>
        <w:t>Expositores: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6272"/>
      </w:tblGrid>
      <w:tr w:rsidR="00EF66F9" w:rsidRPr="009761C8" w:rsidTr="009761C8">
        <w:trPr>
          <w:trHeight w:val="397"/>
          <w:jc w:val="center"/>
        </w:trPr>
        <w:tc>
          <w:tcPr>
            <w:tcW w:w="2322" w:type="dxa"/>
            <w:vAlign w:val="center"/>
          </w:tcPr>
          <w:p w:rsidR="00EF66F9" w:rsidRPr="009761C8" w:rsidRDefault="00EF66F9" w:rsidP="009761C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SUBDERE</w:t>
            </w:r>
          </w:p>
        </w:tc>
        <w:tc>
          <w:tcPr>
            <w:tcW w:w="6272" w:type="dxa"/>
            <w:vAlign w:val="center"/>
          </w:tcPr>
          <w:p w:rsidR="00EF66F9" w:rsidRPr="009761C8" w:rsidRDefault="00EF66F9" w:rsidP="00FD71A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EF66F9" w:rsidRPr="009761C8" w:rsidTr="009761C8">
        <w:trPr>
          <w:trHeight w:val="397"/>
          <w:jc w:val="center"/>
        </w:trPr>
        <w:tc>
          <w:tcPr>
            <w:tcW w:w="2322" w:type="dxa"/>
            <w:vAlign w:val="center"/>
          </w:tcPr>
          <w:p w:rsidR="00EF66F9" w:rsidRPr="009761C8" w:rsidRDefault="00EF66F9" w:rsidP="009761C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9761C8">
              <w:rPr>
                <w:rFonts w:ascii="Verdana" w:hAnsi="Verdana" w:cs="Arial"/>
                <w:sz w:val="20"/>
                <w:szCs w:val="20"/>
              </w:rPr>
              <w:t>CHILECALIDAD</w:t>
            </w:r>
          </w:p>
        </w:tc>
        <w:tc>
          <w:tcPr>
            <w:tcW w:w="6272" w:type="dxa"/>
            <w:vAlign w:val="center"/>
          </w:tcPr>
          <w:p w:rsidR="00EF66F9" w:rsidRPr="009761C8" w:rsidRDefault="00EF66F9" w:rsidP="009761C8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F66F9" w:rsidRDefault="00EF66F9" w:rsidP="0092756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EF66F9" w:rsidRDefault="00EF66F9" w:rsidP="00ED6B02">
      <w:pPr>
        <w:pStyle w:val="Prrafodelista"/>
        <w:spacing w:after="0" w:line="360" w:lineRule="auto"/>
        <w:ind w:left="0"/>
        <w:rPr>
          <w:rFonts w:ascii="Verdana" w:hAnsi="Verdana"/>
          <w:b/>
          <w:sz w:val="18"/>
          <w:szCs w:val="18"/>
          <w:lang w:val="es-CL"/>
        </w:rPr>
      </w:pPr>
    </w:p>
    <w:p w:rsidR="00EF66F9" w:rsidRDefault="00EF66F9" w:rsidP="00806E42">
      <w:pPr>
        <w:pStyle w:val="Prrafodelista"/>
        <w:spacing w:after="0" w:line="360" w:lineRule="auto"/>
        <w:ind w:left="0" w:firstLine="284"/>
        <w:rPr>
          <w:rFonts w:ascii="Verdana" w:hAnsi="Verdana"/>
          <w:b/>
          <w:sz w:val="18"/>
          <w:szCs w:val="18"/>
          <w:lang w:val="es-CL"/>
        </w:rPr>
      </w:pPr>
      <w:r w:rsidRPr="00ED6B02">
        <w:rPr>
          <w:rFonts w:ascii="Verdana" w:hAnsi="Verdana"/>
          <w:b/>
          <w:sz w:val="18"/>
          <w:szCs w:val="18"/>
          <w:lang w:val="es-CL"/>
        </w:rPr>
        <w:t xml:space="preserve">Fundamentos </w:t>
      </w:r>
    </w:p>
    <w:p w:rsidR="00EF66F9" w:rsidRDefault="00EF66F9" w:rsidP="00F9396E">
      <w:pPr>
        <w:pStyle w:val="Prrafodelista"/>
        <w:spacing w:line="360" w:lineRule="auto"/>
        <w:ind w:left="284"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La </w:t>
      </w:r>
      <w:r w:rsidRPr="008C630B">
        <w:rPr>
          <w:rFonts w:ascii="Verdana" w:hAnsi="Verdana"/>
          <w:sz w:val="18"/>
          <w:szCs w:val="18"/>
          <w:lang w:val="es-ES"/>
        </w:rPr>
        <w:t>misión estratégica de la Subsecretaria de Desarrollo Regional y Administrativo, es contribuir al desarrollo de las regiones y comunas, fortaleciendo su capacidad de buen gobierno, en coherencia con el proceso de descentralización.</w:t>
      </w:r>
      <w:r>
        <w:rPr>
          <w:rFonts w:ascii="Verdana" w:hAnsi="Verdana"/>
          <w:sz w:val="18"/>
          <w:szCs w:val="18"/>
          <w:lang w:val="es-ES"/>
        </w:rPr>
        <w:t xml:space="preserve"> Desde esta perspectiva, </w:t>
      </w:r>
      <w:r w:rsidRPr="008C630B">
        <w:rPr>
          <w:rFonts w:ascii="Verdana" w:hAnsi="Verdana"/>
          <w:sz w:val="18"/>
          <w:szCs w:val="18"/>
          <w:lang w:val="es-ES"/>
        </w:rPr>
        <w:t>SUBDERE se encuentra impulsando cambios al actual sistema municipal, entendido como un proceso de mejoramiento de las atribuciones, competencias, capacidades y recursos de las  municipalidades para cumplir a cabalidad su rol como prestadores de servicios de excelencia en un marco de transparencia, participación y ciudadanía.</w:t>
      </w:r>
    </w:p>
    <w:p w:rsidR="00EF66F9" w:rsidRDefault="00EF66F9" w:rsidP="00F9396E">
      <w:pPr>
        <w:pStyle w:val="Prrafodelista"/>
        <w:spacing w:line="360" w:lineRule="auto"/>
        <w:ind w:left="284"/>
        <w:jc w:val="both"/>
        <w:rPr>
          <w:rFonts w:ascii="Verdana" w:hAnsi="Verdana"/>
          <w:sz w:val="18"/>
          <w:szCs w:val="18"/>
          <w:lang w:val="es-ES"/>
        </w:rPr>
      </w:pPr>
    </w:p>
    <w:p w:rsidR="00EF66F9" w:rsidRPr="008C630B" w:rsidRDefault="00EF66F9" w:rsidP="00F9396E">
      <w:pPr>
        <w:pStyle w:val="Prrafodelista"/>
        <w:spacing w:line="360" w:lineRule="auto"/>
        <w:ind w:left="284"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Así, </w:t>
      </w:r>
      <w:r w:rsidRPr="008C630B">
        <w:rPr>
          <w:rFonts w:ascii="Verdana" w:hAnsi="Verdana"/>
          <w:sz w:val="18"/>
          <w:szCs w:val="18"/>
          <w:lang w:val="es-ES"/>
        </w:rPr>
        <w:t>uno de los ámbitos de acción se refiere a la Calidad de los Servicios Municipales. En este aspecto se plantea como objetivo mejorar la calidad y oportunidad de los servicios que el mun</w:t>
      </w:r>
      <w:r>
        <w:rPr>
          <w:rFonts w:ascii="Verdana" w:hAnsi="Verdana"/>
          <w:sz w:val="18"/>
          <w:szCs w:val="18"/>
          <w:lang w:val="es-ES"/>
        </w:rPr>
        <w:t>icipio entrega a la comunidad, mediante el f</w:t>
      </w:r>
      <w:r w:rsidRPr="008C630B">
        <w:rPr>
          <w:rFonts w:ascii="Verdana" w:hAnsi="Verdana"/>
          <w:sz w:val="18"/>
          <w:szCs w:val="18"/>
          <w:lang w:val="es-ES"/>
        </w:rPr>
        <w:t>ortaleci</w:t>
      </w:r>
      <w:r>
        <w:rPr>
          <w:rFonts w:ascii="Verdana" w:hAnsi="Verdana"/>
          <w:sz w:val="18"/>
          <w:szCs w:val="18"/>
          <w:lang w:val="es-ES"/>
        </w:rPr>
        <w:t>miento de</w:t>
      </w:r>
      <w:r w:rsidRPr="008C630B">
        <w:rPr>
          <w:rFonts w:ascii="Verdana" w:hAnsi="Verdana"/>
          <w:sz w:val="18"/>
          <w:szCs w:val="18"/>
          <w:lang w:val="es-ES"/>
        </w:rPr>
        <w:t xml:space="preserve"> sus capacidades de gestión.</w:t>
      </w:r>
    </w:p>
    <w:p w:rsidR="00EF66F9" w:rsidRPr="008C630B" w:rsidRDefault="00EF66F9" w:rsidP="00F9396E">
      <w:pPr>
        <w:pStyle w:val="Prrafodelista"/>
        <w:spacing w:line="360" w:lineRule="auto"/>
        <w:ind w:left="284"/>
        <w:jc w:val="both"/>
        <w:rPr>
          <w:rFonts w:ascii="Verdana" w:hAnsi="Verdana"/>
          <w:sz w:val="18"/>
          <w:szCs w:val="18"/>
          <w:lang w:val="es-ES"/>
        </w:rPr>
      </w:pPr>
    </w:p>
    <w:p w:rsidR="00EF66F9" w:rsidRDefault="00EF66F9" w:rsidP="00F9396E">
      <w:pPr>
        <w:pStyle w:val="Prrafodelista"/>
        <w:spacing w:line="360" w:lineRule="auto"/>
        <w:ind w:left="284"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Por</w:t>
      </w:r>
      <w:r w:rsidRPr="008C630B">
        <w:rPr>
          <w:rFonts w:ascii="Verdana" w:hAnsi="Verdana"/>
          <w:sz w:val="18"/>
          <w:szCs w:val="18"/>
          <w:lang w:val="es-ES"/>
        </w:rPr>
        <w:t xml:space="preserve"> su parte, el Centro Nacional de la Productividad y la Calidad, ChileCalidad es un Comité dependiente de la Corporación de Fomento de la Producción, </w:t>
      </w:r>
      <w:r>
        <w:rPr>
          <w:rFonts w:ascii="Verdana" w:hAnsi="Verdana"/>
          <w:sz w:val="18"/>
          <w:szCs w:val="18"/>
          <w:lang w:val="es-ES"/>
        </w:rPr>
        <w:t xml:space="preserve">CORFO, </w:t>
      </w:r>
      <w:r w:rsidRPr="008C630B">
        <w:rPr>
          <w:rFonts w:ascii="Verdana" w:hAnsi="Verdana"/>
          <w:sz w:val="18"/>
          <w:szCs w:val="18"/>
          <w:lang w:val="es-ES"/>
        </w:rPr>
        <w:t xml:space="preserve">que actúa bajo la personalidad jurídica de ésta y tiene por misión promover </w:t>
      </w:r>
      <w:r>
        <w:rPr>
          <w:rFonts w:ascii="Verdana" w:hAnsi="Verdana"/>
          <w:sz w:val="18"/>
          <w:szCs w:val="18"/>
          <w:lang w:val="es-ES"/>
        </w:rPr>
        <w:t>la aplicación de modelos, herramientas y prácticas de gestión de excelencia, que mejoren la productividad, la calidad y faciliten la innovación en las organizaciones</w:t>
      </w:r>
      <w:r w:rsidRPr="008C630B">
        <w:rPr>
          <w:rFonts w:ascii="Verdana" w:hAnsi="Verdana"/>
          <w:sz w:val="18"/>
          <w:szCs w:val="18"/>
          <w:lang w:val="es-ES"/>
        </w:rPr>
        <w:t>.</w:t>
      </w:r>
    </w:p>
    <w:p w:rsidR="00EF66F9" w:rsidRDefault="00EF66F9" w:rsidP="00F9396E">
      <w:pPr>
        <w:pStyle w:val="Prrafodelista"/>
        <w:spacing w:line="360" w:lineRule="auto"/>
        <w:ind w:left="284"/>
        <w:jc w:val="both"/>
        <w:rPr>
          <w:rFonts w:ascii="Verdana" w:hAnsi="Verdana"/>
          <w:sz w:val="18"/>
          <w:szCs w:val="18"/>
          <w:lang w:val="es-ES"/>
        </w:rPr>
      </w:pPr>
    </w:p>
    <w:p w:rsidR="00EF66F9" w:rsidRPr="008C630B" w:rsidRDefault="00EF66F9" w:rsidP="000F0444">
      <w:pPr>
        <w:pStyle w:val="Prrafodelista"/>
        <w:spacing w:line="360" w:lineRule="auto"/>
        <w:ind w:left="284"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Ambas instituciones, en el marco del</w:t>
      </w:r>
      <w:r w:rsidRPr="008C630B">
        <w:rPr>
          <w:rFonts w:ascii="Verdana" w:hAnsi="Verdana"/>
          <w:sz w:val="18"/>
          <w:szCs w:val="18"/>
          <w:lang w:val="es-ES"/>
        </w:rPr>
        <w:t xml:space="preserve"> Convenio </w:t>
      </w:r>
      <w:r>
        <w:rPr>
          <w:rFonts w:ascii="Verdana" w:hAnsi="Verdana"/>
          <w:sz w:val="18"/>
          <w:szCs w:val="18"/>
          <w:lang w:val="es-ES"/>
        </w:rPr>
        <w:t xml:space="preserve">de Colaboración celebrado el año 2009, </w:t>
      </w:r>
      <w:r w:rsidRPr="008C630B">
        <w:rPr>
          <w:rFonts w:ascii="Verdana" w:hAnsi="Verdana"/>
          <w:sz w:val="18"/>
          <w:szCs w:val="18"/>
          <w:lang w:val="es-ES"/>
        </w:rPr>
        <w:t>diseñaron y probaron un conjunto de herramientas de gestión municipal adaptadas a las diversas realidades organizacionales de los municipios chilenos, las que en su conjunto han pasado a formar el Programa de Mejoramiento Progresivo de la Calidad de la Gestión Municipal.</w:t>
      </w:r>
      <w:r>
        <w:rPr>
          <w:rFonts w:ascii="Verdana" w:hAnsi="Verdana"/>
          <w:sz w:val="18"/>
          <w:szCs w:val="18"/>
          <w:lang w:val="es-ES"/>
        </w:rPr>
        <w:t xml:space="preserve"> Estos productos, son parte importante de la oferta programática de la SUBDERE. Durante el 2011 se </w:t>
      </w:r>
      <w:r>
        <w:rPr>
          <w:rFonts w:ascii="Verdana" w:hAnsi="Verdana"/>
          <w:sz w:val="18"/>
          <w:szCs w:val="18"/>
          <w:lang w:val="es-ES"/>
        </w:rPr>
        <w:lastRenderedPageBreak/>
        <w:t>incorporan al</w:t>
      </w:r>
      <w:r w:rsidRPr="008C630B">
        <w:rPr>
          <w:rFonts w:ascii="Verdana" w:hAnsi="Verdana"/>
          <w:sz w:val="18"/>
          <w:szCs w:val="18"/>
          <w:lang w:val="es-ES"/>
        </w:rPr>
        <w:t xml:space="preserve">Programa de Mejoramiento Progresivo de la </w:t>
      </w:r>
      <w:r>
        <w:rPr>
          <w:rFonts w:ascii="Verdana" w:hAnsi="Verdana"/>
          <w:sz w:val="18"/>
          <w:szCs w:val="18"/>
          <w:lang w:val="es-ES"/>
        </w:rPr>
        <w:t>Calidad de la Gestión Municipal 69 municipalidades.</w:t>
      </w:r>
    </w:p>
    <w:p w:rsidR="00EF66F9" w:rsidRPr="008C630B" w:rsidRDefault="00EF66F9" w:rsidP="00F9396E">
      <w:pPr>
        <w:pStyle w:val="Prrafodelista"/>
        <w:spacing w:after="0" w:line="360" w:lineRule="auto"/>
        <w:ind w:left="0"/>
        <w:jc w:val="both"/>
        <w:rPr>
          <w:rFonts w:ascii="Verdana" w:hAnsi="Verdana"/>
          <w:b/>
          <w:sz w:val="18"/>
          <w:szCs w:val="18"/>
          <w:lang w:val="es-ES"/>
        </w:rPr>
      </w:pPr>
    </w:p>
    <w:p w:rsidR="00EF66F9" w:rsidRPr="00ED6B02" w:rsidRDefault="00EF66F9" w:rsidP="00317400">
      <w:pPr>
        <w:pStyle w:val="Prrafodelista"/>
        <w:spacing w:after="0" w:line="360" w:lineRule="auto"/>
        <w:ind w:left="0" w:firstLine="284"/>
        <w:rPr>
          <w:rFonts w:ascii="Verdana" w:hAnsi="Verdana"/>
          <w:b/>
          <w:sz w:val="18"/>
          <w:szCs w:val="18"/>
          <w:lang w:val="es-CL"/>
        </w:rPr>
      </w:pPr>
      <w:r w:rsidRPr="00ED6B02">
        <w:rPr>
          <w:rFonts w:ascii="Verdana" w:hAnsi="Verdana"/>
          <w:b/>
          <w:sz w:val="18"/>
          <w:szCs w:val="18"/>
          <w:lang w:val="es-CL"/>
        </w:rPr>
        <w:t>Objetivos</w:t>
      </w:r>
    </w:p>
    <w:p w:rsidR="00EF66F9" w:rsidRPr="00ED6B02" w:rsidRDefault="00EF66F9" w:rsidP="00317400">
      <w:pPr>
        <w:spacing w:line="360" w:lineRule="auto"/>
        <w:ind w:firstLine="284"/>
        <w:rPr>
          <w:rFonts w:ascii="Verdana" w:hAnsi="Verdana"/>
          <w:b/>
          <w:bCs/>
          <w:sz w:val="18"/>
          <w:szCs w:val="18"/>
        </w:rPr>
      </w:pPr>
      <w:r w:rsidRPr="00ED6B02">
        <w:rPr>
          <w:rFonts w:ascii="Verdana" w:hAnsi="Verdana"/>
          <w:b/>
          <w:bCs/>
          <w:sz w:val="18"/>
          <w:szCs w:val="18"/>
        </w:rPr>
        <w:t>General</w:t>
      </w:r>
    </w:p>
    <w:p w:rsidR="00EF66F9" w:rsidRPr="00ED6B02" w:rsidRDefault="00EF66F9" w:rsidP="00317400">
      <w:pPr>
        <w:spacing w:line="360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Conocer los antecedentes conceptuales, metodológicos y operativos que subyacen a los instrumentos y herramientas de mejoramiento de la calidad de la gestión municipal, de modo de apoyar internamente la incorporación de los municipios en este tipo de procesos.</w:t>
      </w:r>
    </w:p>
    <w:p w:rsidR="00EF66F9" w:rsidRPr="00ED6B02" w:rsidRDefault="00EF66F9" w:rsidP="00DA5DF3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F66F9" w:rsidRPr="00ED6B02" w:rsidRDefault="00EF66F9" w:rsidP="00DA5DF3">
      <w:pPr>
        <w:spacing w:line="360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  <w:r w:rsidRPr="00ED6B02">
        <w:rPr>
          <w:rFonts w:ascii="Verdana" w:hAnsi="Verdana"/>
          <w:b/>
          <w:bCs/>
          <w:sz w:val="18"/>
          <w:szCs w:val="18"/>
        </w:rPr>
        <w:t>Específicos</w:t>
      </w:r>
    </w:p>
    <w:p w:rsidR="00EF66F9" w:rsidRPr="00DA5DF3" w:rsidRDefault="00EF66F9" w:rsidP="00DA5DF3">
      <w:pPr>
        <w:pStyle w:val="Prrafodelista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/>
          <w:bCs/>
          <w:sz w:val="18"/>
          <w:szCs w:val="18"/>
          <w:lang w:val="es-ES"/>
        </w:rPr>
      </w:pPr>
      <w:r w:rsidRPr="00ED6B02">
        <w:rPr>
          <w:rFonts w:ascii="Verdana" w:hAnsi="Verdana"/>
          <w:sz w:val="18"/>
          <w:szCs w:val="18"/>
          <w:lang w:val="es-ES"/>
        </w:rPr>
        <w:t xml:space="preserve">Conocer </w:t>
      </w:r>
      <w:r>
        <w:rPr>
          <w:rFonts w:ascii="Verdana" w:hAnsi="Verdana"/>
          <w:sz w:val="18"/>
          <w:szCs w:val="18"/>
          <w:lang w:val="es-ES"/>
        </w:rPr>
        <w:t>el funcionamiento del Programa de Mejoramiento Progresivo de la Calidad de la Gestión Municipal.</w:t>
      </w:r>
    </w:p>
    <w:p w:rsidR="00EF66F9" w:rsidRDefault="00EF66F9" w:rsidP="00DA5DF3">
      <w:pPr>
        <w:pStyle w:val="Prrafodelista"/>
        <w:numPr>
          <w:ilvl w:val="0"/>
          <w:numId w:val="1"/>
        </w:numPr>
        <w:spacing w:after="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Comprender la lógica del mejoramiento continuo como fundamento metodológico en los temas de calidad y excelencia.</w:t>
      </w:r>
    </w:p>
    <w:p w:rsidR="00EF66F9" w:rsidRPr="00ED6B02" w:rsidRDefault="00EF66F9" w:rsidP="00DA5DF3">
      <w:pPr>
        <w:pStyle w:val="Prrafodelista"/>
        <w:numPr>
          <w:ilvl w:val="0"/>
          <w:numId w:val="1"/>
        </w:numPr>
        <w:spacing w:after="0" w:line="360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  <w:lang w:val="es-ES"/>
        </w:rPr>
      </w:pPr>
      <w:r w:rsidRPr="00ED6B02">
        <w:rPr>
          <w:rFonts w:ascii="Verdana" w:hAnsi="Verdana"/>
          <w:sz w:val="18"/>
          <w:szCs w:val="18"/>
          <w:lang w:val="es-ES"/>
        </w:rPr>
        <w:t xml:space="preserve">Conocer </w:t>
      </w:r>
      <w:r>
        <w:rPr>
          <w:rFonts w:ascii="Verdana" w:hAnsi="Verdana"/>
          <w:sz w:val="18"/>
          <w:szCs w:val="18"/>
          <w:lang w:val="es-ES"/>
        </w:rPr>
        <w:t>los atributos de enfoque, despliegue y análisis de resultados presentes en los instrumentos de mejoramiento de la calidad de la gestión municipal.</w:t>
      </w:r>
    </w:p>
    <w:p w:rsidR="00EF66F9" w:rsidRPr="00DA5DF3" w:rsidRDefault="00EF66F9" w:rsidP="00436F18">
      <w:pPr>
        <w:pStyle w:val="Prrafodelista"/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Verdana" w:hAnsi="Verdana"/>
          <w:bCs/>
          <w:sz w:val="18"/>
          <w:szCs w:val="18"/>
          <w:lang w:val="es-ES"/>
        </w:rPr>
      </w:pPr>
      <w:r>
        <w:rPr>
          <w:rFonts w:ascii="Verdana" w:hAnsi="Verdana"/>
          <w:bCs/>
          <w:sz w:val="18"/>
          <w:szCs w:val="18"/>
          <w:lang w:val="es-ES"/>
        </w:rPr>
        <w:t>Adquirir destrezas y habilidades necesarias para iniciar el proceso de mejoramiento continuo en sus respectivos municipios, es decir, comenzar la autoevaluación institucional.</w:t>
      </w:r>
    </w:p>
    <w:p w:rsidR="00EF66F9" w:rsidRDefault="00EF66F9" w:rsidP="00DA5DF3">
      <w:pPr>
        <w:pStyle w:val="Prrafodelista"/>
        <w:spacing w:after="0" w:line="360" w:lineRule="auto"/>
        <w:ind w:left="0"/>
        <w:rPr>
          <w:rFonts w:ascii="Verdana" w:hAnsi="Verdana"/>
          <w:b/>
          <w:sz w:val="18"/>
          <w:szCs w:val="18"/>
          <w:lang w:val="es-CL"/>
        </w:rPr>
      </w:pPr>
    </w:p>
    <w:p w:rsidR="00EF66F9" w:rsidRPr="008A02B3" w:rsidRDefault="00EF66F9" w:rsidP="008A02B3">
      <w:pPr>
        <w:pStyle w:val="Prrafodelista"/>
        <w:spacing w:after="0" w:line="360" w:lineRule="auto"/>
        <w:ind w:left="0"/>
        <w:rPr>
          <w:rFonts w:ascii="Verdana" w:hAnsi="Verdana"/>
          <w:b/>
          <w:sz w:val="18"/>
          <w:szCs w:val="18"/>
          <w:lang w:val="es-CL"/>
        </w:rPr>
      </w:pPr>
      <w:r>
        <w:rPr>
          <w:rFonts w:ascii="Verdana" w:hAnsi="Verdana"/>
          <w:b/>
          <w:sz w:val="18"/>
          <w:szCs w:val="18"/>
          <w:lang w:val="es-CL"/>
        </w:rPr>
        <w:br w:type="page"/>
      </w:r>
    </w:p>
    <w:tbl>
      <w:tblPr>
        <w:tblW w:w="835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51"/>
      </w:tblGrid>
      <w:tr w:rsidR="00EF66F9" w:rsidRPr="001218F9" w:rsidTr="00732983">
        <w:trPr>
          <w:trHeight w:val="35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8349E5" w:rsidRDefault="00EF66F9" w:rsidP="008349E5">
            <w:pPr>
              <w:pStyle w:val="Textoindependiente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8A02B3">
              <w:rPr>
                <w:rFonts w:ascii="Verdana" w:hAnsi="Verdana"/>
                <w:color w:val="FFFFFF"/>
                <w:sz w:val="18"/>
                <w:szCs w:val="18"/>
                <w:lang w:val="es-CL"/>
              </w:rPr>
              <w:lastRenderedPageBreak/>
              <w:t>Programa</w:t>
            </w:r>
            <w:r w:rsidRPr="008349E5">
              <w:rPr>
                <w:rFonts w:ascii="Verdana" w:hAnsi="Verdana"/>
                <w:color w:val="FFFFFF"/>
                <w:sz w:val="18"/>
                <w:szCs w:val="18"/>
              </w:rPr>
              <w:t>de Mejoramiento Progresivo de la Gestión Municipal</w:t>
            </w:r>
          </w:p>
          <w:p w:rsidR="00EF66F9" w:rsidRPr="0012113D" w:rsidRDefault="00EF66F9" w:rsidP="0012113D">
            <w:pPr>
              <w:pStyle w:val="Textoindependiente"/>
              <w:jc w:val="center"/>
              <w:rPr>
                <w:rFonts w:ascii="Verdana" w:hAnsi="Verdana" w:cs="Arial"/>
                <w:color w:val="FFFFFF"/>
                <w:sz w:val="24"/>
                <w:szCs w:val="24"/>
              </w:rPr>
            </w:pPr>
            <w:r>
              <w:rPr>
                <w:rFonts w:ascii="Verdana" w:hAnsi="Verdana" w:cs="Arial"/>
                <w:color w:val="FFFFFF"/>
                <w:sz w:val="20"/>
                <w:szCs w:val="20"/>
              </w:rPr>
              <w:t>(Día 1)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08:40 – 09:10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218F9"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Registro de participantes, entrega de material y bienvenida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09:10–09:30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Presentación del Programa, indicaciones generales, presentación de participantes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8A02B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09:30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11:0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436F18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 xml:space="preserve">La SUBDERE y el mejoramiento de la calidad de la gestión municipal 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8A02B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11:00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11:2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8A02B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 xml:space="preserve">Café 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11:20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13:0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8A02B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Programa de Mejoramiento Progresivo de la Calidad de la Gestión Municipal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B904E0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13:00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14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30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8A02B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Almuerzo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14:30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16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:00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Antecedentes e Historia de la Calidad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16:00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16:2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Café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16:20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–18:00</w:t>
            </w:r>
          </w:p>
        </w:tc>
      </w:tr>
      <w:tr w:rsidR="00EF66F9" w:rsidRPr="001218F9" w:rsidTr="00732983">
        <w:trPr>
          <w:trHeight w:val="285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D7013">
            <w:pPr>
              <w:tabs>
                <w:tab w:val="left" w:pos="11105"/>
              </w:tabs>
              <w:spacing w:line="28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Modelos de excelencia y Modelo de Mejoramiento Progresivo</w:t>
            </w:r>
          </w:p>
        </w:tc>
      </w:tr>
    </w:tbl>
    <w:p w:rsidR="00EF66F9" w:rsidRDefault="00EF66F9" w:rsidP="0092756D">
      <w:pPr>
        <w:ind w:firstLine="720"/>
        <w:rPr>
          <w:rFonts w:ascii="Verdana" w:hAnsi="Verdana"/>
          <w:sz w:val="20"/>
          <w:szCs w:val="20"/>
          <w:lang w:val="es-CL"/>
        </w:rPr>
      </w:pPr>
    </w:p>
    <w:p w:rsidR="00EF66F9" w:rsidRDefault="00EF66F9" w:rsidP="008A02B3"/>
    <w:p w:rsidR="00EF66F9" w:rsidRDefault="00EF66F9" w:rsidP="008A02B3">
      <w:r>
        <w:br w:type="page"/>
      </w:r>
    </w:p>
    <w:tbl>
      <w:tblPr>
        <w:tblW w:w="835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51"/>
      </w:tblGrid>
      <w:tr w:rsidR="00EF66F9" w:rsidRPr="001218F9" w:rsidTr="00732983">
        <w:trPr>
          <w:trHeight w:val="35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Default="00EF66F9" w:rsidP="008349E5">
            <w:pPr>
              <w:pStyle w:val="Textoindependiente"/>
              <w:jc w:val="center"/>
              <w:rPr>
                <w:rFonts w:ascii="Verdana" w:hAnsi="Verdana"/>
                <w:color w:val="FFFFFF"/>
                <w:sz w:val="18"/>
                <w:szCs w:val="18"/>
                <w:lang w:val="es-CL"/>
              </w:rPr>
            </w:pPr>
            <w:r w:rsidRPr="008349E5">
              <w:rPr>
                <w:rFonts w:ascii="Verdana" w:hAnsi="Verdana"/>
                <w:color w:val="FFFFFF"/>
                <w:sz w:val="18"/>
                <w:szCs w:val="18"/>
              </w:rPr>
              <w:lastRenderedPageBreak/>
              <w:t>Programa de Mejoramiento Progresivo de la Gestión Municipal</w:t>
            </w:r>
          </w:p>
          <w:p w:rsidR="00EF66F9" w:rsidRPr="0012113D" w:rsidRDefault="00EF66F9" w:rsidP="008349E5">
            <w:pPr>
              <w:pStyle w:val="Textoindependiente"/>
              <w:jc w:val="center"/>
              <w:rPr>
                <w:rFonts w:ascii="Verdana" w:hAnsi="Verdana" w:cs="Arial"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color w:val="FFFFFF"/>
                <w:sz w:val="18"/>
                <w:szCs w:val="18"/>
                <w:lang w:val="es-CL"/>
              </w:rPr>
              <w:t>(</w:t>
            </w:r>
            <w:r>
              <w:rPr>
                <w:rFonts w:ascii="Verdana" w:hAnsi="Verdana" w:cs="Arial"/>
                <w:color w:val="FFFFFF"/>
                <w:sz w:val="20"/>
                <w:szCs w:val="20"/>
              </w:rPr>
              <w:t>Día 2)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09:00 – 09:2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Repaso y Preguntas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09:2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10:4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Enfoque y Despliegue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C76960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10:40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11:0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Café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11:00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12:0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Análisis de Resultado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12:00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13:0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C76960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Redacción de Evidencias I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13:00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14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: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30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Almuerzo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14:30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16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:00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Redacción de Evidencias II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16:00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</w:t>
            </w: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 16:2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0</w:t>
            </w:r>
          </w:p>
        </w:tc>
      </w:tr>
      <w:tr w:rsidR="00EF66F9" w:rsidRPr="001218F9" w:rsidTr="00732983">
        <w:trPr>
          <w:trHeight w:val="343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3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Café</w:t>
            </w:r>
          </w:p>
        </w:tc>
      </w:tr>
      <w:tr w:rsidR="00EF66F9" w:rsidRPr="001218F9" w:rsidTr="00732983">
        <w:trPr>
          <w:trHeight w:val="340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340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 xml:space="preserve">16:20 </w:t>
            </w:r>
            <w:r w:rsidRPr="001218F9">
              <w:rPr>
                <w:rFonts w:ascii="Century Gothic" w:hAnsi="Century Gothic" w:cs="Arial"/>
                <w:b/>
                <w:bCs/>
                <w:color w:val="FFFFFF"/>
                <w:kern w:val="24"/>
                <w:sz w:val="20"/>
                <w:szCs w:val="20"/>
              </w:rPr>
              <w:t>–18:00</w:t>
            </w:r>
          </w:p>
        </w:tc>
      </w:tr>
      <w:tr w:rsidR="00EF66F9" w:rsidRPr="001218F9" w:rsidTr="00732983">
        <w:trPr>
          <w:trHeight w:val="285"/>
          <w:jc w:val="center"/>
        </w:trPr>
        <w:tc>
          <w:tcPr>
            <w:tcW w:w="8351" w:type="dxa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66F9" w:rsidRPr="001218F9" w:rsidRDefault="00EF66F9" w:rsidP="00732983">
            <w:pPr>
              <w:tabs>
                <w:tab w:val="left" w:pos="11105"/>
              </w:tabs>
              <w:spacing w:line="28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339966"/>
                <w:kern w:val="24"/>
                <w:sz w:val="20"/>
                <w:szCs w:val="20"/>
              </w:rPr>
              <w:t>Planificación para la Autoevaluación, consideraciones finales</w:t>
            </w:r>
          </w:p>
        </w:tc>
      </w:tr>
    </w:tbl>
    <w:p w:rsidR="00EF66F9" w:rsidRDefault="00EF66F9" w:rsidP="008A02B3"/>
    <w:sectPr w:rsidR="00EF66F9" w:rsidSect="00534E2E">
      <w:headerReference w:type="default" r:id="rId7"/>
      <w:footerReference w:type="default" r:id="rId8"/>
      <w:pgSz w:w="11906" w:h="16838"/>
      <w:pgMar w:top="3119" w:right="128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84" w:rsidRDefault="00297584">
      <w:r>
        <w:separator/>
      </w:r>
    </w:p>
  </w:endnote>
  <w:endnote w:type="continuationSeparator" w:id="0">
    <w:p w:rsidR="00297584" w:rsidRDefault="0029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F9" w:rsidRPr="00044A5B" w:rsidRDefault="00EF66F9" w:rsidP="00347B2C">
    <w:pPr>
      <w:pStyle w:val="Ttulo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84" w:rsidRDefault="00297584">
      <w:r>
        <w:separator/>
      </w:r>
    </w:p>
  </w:footnote>
  <w:footnote w:type="continuationSeparator" w:id="0">
    <w:p w:rsidR="00297584" w:rsidRDefault="0029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6F9" w:rsidRDefault="00BC403E" w:rsidP="00534E2E">
    <w:pPr>
      <w:pStyle w:val="Encabezado"/>
      <w:ind w:left="142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4554220</wp:posOffset>
          </wp:positionH>
          <wp:positionV relativeFrom="paragraph">
            <wp:posOffset>126365</wp:posOffset>
          </wp:positionV>
          <wp:extent cx="966470" cy="75755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>
          <wp:extent cx="1047750" cy="952500"/>
          <wp:effectExtent l="0" t="0" r="0" b="0"/>
          <wp:docPr id="1" name="Imagen 1" descr="Subdere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bdere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1CAC"/>
    <w:multiLevelType w:val="hybridMultilevel"/>
    <w:tmpl w:val="2F9E297E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6D"/>
    <w:rsid w:val="00044A5B"/>
    <w:rsid w:val="0006227C"/>
    <w:rsid w:val="000708E1"/>
    <w:rsid w:val="000E3C19"/>
    <w:rsid w:val="000F0444"/>
    <w:rsid w:val="00100766"/>
    <w:rsid w:val="0012113D"/>
    <w:rsid w:val="001218F9"/>
    <w:rsid w:val="001D411C"/>
    <w:rsid w:val="001F0B3D"/>
    <w:rsid w:val="002032D9"/>
    <w:rsid w:val="00256B6B"/>
    <w:rsid w:val="00297584"/>
    <w:rsid w:val="002A213B"/>
    <w:rsid w:val="002B1100"/>
    <w:rsid w:val="002D42C2"/>
    <w:rsid w:val="00317400"/>
    <w:rsid w:val="0034510F"/>
    <w:rsid w:val="00347B2C"/>
    <w:rsid w:val="0039121F"/>
    <w:rsid w:val="003F721B"/>
    <w:rsid w:val="00436F18"/>
    <w:rsid w:val="00497E2A"/>
    <w:rsid w:val="00534E2E"/>
    <w:rsid w:val="00551FBC"/>
    <w:rsid w:val="005709F6"/>
    <w:rsid w:val="005A1DE8"/>
    <w:rsid w:val="00615EC2"/>
    <w:rsid w:val="006B207C"/>
    <w:rsid w:val="006C76CB"/>
    <w:rsid w:val="00701F50"/>
    <w:rsid w:val="00732983"/>
    <w:rsid w:val="00732C1C"/>
    <w:rsid w:val="007462A2"/>
    <w:rsid w:val="007617D5"/>
    <w:rsid w:val="00767190"/>
    <w:rsid w:val="007678ED"/>
    <w:rsid w:val="0077133E"/>
    <w:rsid w:val="007D7013"/>
    <w:rsid w:val="00806E42"/>
    <w:rsid w:val="008349E5"/>
    <w:rsid w:val="008941F8"/>
    <w:rsid w:val="008A02B3"/>
    <w:rsid w:val="008C630B"/>
    <w:rsid w:val="00903FA1"/>
    <w:rsid w:val="0092756D"/>
    <w:rsid w:val="009761C8"/>
    <w:rsid w:val="0098496D"/>
    <w:rsid w:val="009C5F8A"/>
    <w:rsid w:val="00A8312E"/>
    <w:rsid w:val="00AA2A14"/>
    <w:rsid w:val="00AD2F8D"/>
    <w:rsid w:val="00AF4D1B"/>
    <w:rsid w:val="00B21FE3"/>
    <w:rsid w:val="00B227D0"/>
    <w:rsid w:val="00B371A5"/>
    <w:rsid w:val="00B61884"/>
    <w:rsid w:val="00B63BF6"/>
    <w:rsid w:val="00B904E0"/>
    <w:rsid w:val="00BC1CBA"/>
    <w:rsid w:val="00BC403E"/>
    <w:rsid w:val="00C20AEF"/>
    <w:rsid w:val="00C3396D"/>
    <w:rsid w:val="00C76960"/>
    <w:rsid w:val="00CB0930"/>
    <w:rsid w:val="00CE7107"/>
    <w:rsid w:val="00CF49B1"/>
    <w:rsid w:val="00D75F5E"/>
    <w:rsid w:val="00D7799F"/>
    <w:rsid w:val="00DA1F29"/>
    <w:rsid w:val="00DA5DF3"/>
    <w:rsid w:val="00DE61C4"/>
    <w:rsid w:val="00E57B37"/>
    <w:rsid w:val="00EA30C5"/>
    <w:rsid w:val="00ED6B02"/>
    <w:rsid w:val="00EF02B7"/>
    <w:rsid w:val="00EF66F9"/>
    <w:rsid w:val="00F24B84"/>
    <w:rsid w:val="00F545DC"/>
    <w:rsid w:val="00F62904"/>
    <w:rsid w:val="00F9396E"/>
    <w:rsid w:val="00FA4F24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2C3A72-56AF-44B8-BA03-87A347B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56D"/>
    <w:rPr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92756D"/>
    <w:pPr>
      <w:keepNext/>
      <w:ind w:left="40" w:hanging="40"/>
      <w:outlineLvl w:val="8"/>
    </w:pPr>
    <w:rPr>
      <w:rFonts w:ascii="Gill Sans MT" w:hAnsi="Gill Sans MT"/>
      <w:b/>
      <w:bCs/>
      <w:color w:val="435063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semiHidden/>
    <w:rsid w:val="000A2D70"/>
    <w:rPr>
      <w:rFonts w:asciiTheme="majorHAnsi" w:eastAsiaTheme="majorEastAsia" w:hAnsiTheme="majorHAnsi" w:cstheme="majorBidi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2756D"/>
    <w:pPr>
      <w:autoSpaceDE w:val="0"/>
      <w:autoSpaceDN w:val="0"/>
      <w:adjustRightInd w:val="0"/>
    </w:pPr>
    <w:rPr>
      <w:rFonts w:ascii="Univers-Bold" w:hAnsi="Univers-Bold"/>
      <w:b/>
      <w:bCs/>
      <w:color w:val="000080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D70"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275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D7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9275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99"/>
    <w:rsid w:val="00927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92756D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AF4D1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D70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AF4D1B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B371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D7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FORMACIÓN DE CONSULTORES</vt:lpstr>
    </vt:vector>
  </TitlesOfParts>
  <Company>Calidad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FORMACIÓN DE CONSULTORES</dc:title>
  <dc:subject/>
  <dc:creator>ext.idm</dc:creator>
  <cp:keywords/>
  <dc:description/>
  <cp:lastModifiedBy>Maria Ignacia Del Rio</cp:lastModifiedBy>
  <cp:revision>2</cp:revision>
  <cp:lastPrinted>2011-04-29T14:23:00Z</cp:lastPrinted>
  <dcterms:created xsi:type="dcterms:W3CDTF">2024-12-12T20:25:00Z</dcterms:created>
  <dcterms:modified xsi:type="dcterms:W3CDTF">2024-12-12T20:25:00Z</dcterms:modified>
</cp:coreProperties>
</file>